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7A17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45"/>
          <w:szCs w:val="45"/>
          <w:bdr w:val="none" w:color="auto" w:sz="0" w:space="0"/>
          <w14:textFill>
            <w14:solidFill>
              <w14:schemeClr w14:val="tx1"/>
            </w14:solidFill>
          </w14:textFill>
        </w:rPr>
        <w:t>有哪些ELISA实验技巧可以提高准确性</w:t>
      </w:r>
      <w:bookmarkEnd w:id="0"/>
    </w:p>
    <w:p w14:paraId="303E2E4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　　标签：BUNSEN本生 天津本生 标准品 移液器 孵育箱 单克隆抗体</w:t>
      </w:r>
    </w:p>
    <w:p w14:paraId="6D273FB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有哪些ELISA实验技巧可以提高准确性</w:t>
      </w:r>
    </w:p>
    <w:p w14:paraId="3277099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提高ELISA实验准确性的核心在于系统性优化实验设计、严格规范操作流程，并建立完善的质控体系‌，从样本处理到数据读取每一步都需精细控制，以确保结果可靠可重复。</w:t>
      </w:r>
    </w:p>
    <w:p w14:paraId="56E00C6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　　一、实验设计精密化：</w:t>
      </w:r>
    </w:p>
    <w:p w14:paraId="2F8444E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采用正交实验设计优化参数‌</w:t>
      </w:r>
    </w:p>
    <w:p w14:paraId="2380A8D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对抗体浓度、包被条件、封闭剂类型等关键变量进行多因素组合测试，找出合适配置。例如通过方阵滴定法(Checkerboard Assay)确定捕获抗体与检测抗体的最佳配比。</w:t>
      </w:r>
    </w:p>
    <w:p w14:paraId="7B44BF2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选择高亲和力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单克隆抗体‌</w:t>
      </w:r>
    </w:p>
    <w:p w14:paraId="6C85296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单抗特异性更强，可显著降低非特异性结合风险，尤其适用于复杂基质样本检测。</w:t>
      </w:r>
    </w:p>
    <w:p w14:paraId="2591A6B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合理设置标准曲线与对照‌</w:t>
      </w:r>
    </w:p>
    <w:p w14:paraId="5EDF1AA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每块板必须包含标准品、阳性对照和阴性对照，确保R² &gt; 0.99，信号比值符合要求(如P/N ≥ 10)。</w:t>
      </w:r>
    </w:p>
    <w:p w14:paraId="40D4EB6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　　二、操作标准化：</w:t>
      </w:r>
    </w:p>
    <w:p w14:paraId="218883C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试剂室温平衡至关重要‌</w:t>
      </w:r>
    </w:p>
    <w:p w14:paraId="4B00EDF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所有试剂使用前需在室温平衡1～2小时，避免温度波动影响抗原抗体反应稳定性。</w:t>
      </w:r>
    </w:p>
    <w:p w14:paraId="21F5D3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使用多通道移液器并定期校准‌</w:t>
      </w:r>
    </w:p>
    <w:p w14:paraId="7FC4C8F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减少孔间加样时间差，提升一致性;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移液器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建议每3～6个月校准一次，误差控制在±1%内。</w:t>
      </w:r>
    </w:p>
    <w:p w14:paraId="4B13C69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自动化洗板，杜绝手动误差‌</w:t>
      </w:r>
    </w:p>
    <w:p w14:paraId="01C60CE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洗板不净是高背景的主要原因。推荐使用洗板机，每孔注入不少于300μl洗涤液，静置30秒，重复5次以上。</w:t>
      </w:r>
    </w:p>
    <w:p w14:paraId="310022E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避免边缘效应‌</w:t>
      </w:r>
    </w:p>
    <w:p w14:paraId="42BB232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孵育时避免酶标板叠放，可在孵育箱内放置湿盒或水盘保持湿度，防止边缘孔蒸发导致信号异常。</w:t>
      </w:r>
    </w:p>
    <w:p w14:paraId="08220BE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　　三、步骤</w:t>
      </w:r>
    </w:p>
    <w:p w14:paraId="0713FC6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2D88306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73675" cy="2517775"/>
            <wp:effectExtent l="0" t="0" r="3175" b="15875"/>
            <wp:docPr id="1" name="图片 1" descr="13d4e0b8-0e95-4295-b63a-f275b631608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3d4e0b8-0e95-4295-b63a-f275b631608a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517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124048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</w:p>
    <w:p w14:paraId="3BBDAFA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　　四、环境与质控</w:t>
      </w:r>
    </w:p>
    <w:p w14:paraId="5C97446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实验室环境‌：维持温度±1℃波动，湿度40%-60%，避免醛类、酚类等挥发性物质干扰。</w:t>
      </w:r>
    </w:p>
    <w:p w14:paraId="518085B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数据解读‌：采用四参数逻辑曲线(4PL)拟合标准曲线，更准确反映分子结合动力学特征。</w:t>
      </w:r>
    </w:p>
    <w:p w14:paraId="12A42AA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复孔检测‌：所有样本设复孔，CV值控制在&lt;15%，临界值样本建议双盲法重复3次以上。</w:t>
      </w:r>
    </w:p>
    <w:p w14:paraId="589A435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注：以上供参考!</w:t>
      </w:r>
    </w:p>
    <w:p w14:paraId="034C098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　　BUNSEN本生  天津本生一直视质量控制为企业的生命，追求企业竞争力的不断提升。公司在经营中始终秉承：遵纪守法，严于律己，宽仁以待，敢于承担的企业精神作为标准，以过硬的质量和优良的服务来维护和拓展市场，较大限度的满足客户的需求。与客户的共赢，是我们的发展目标。本生!您信任的合作伙伴。我们愿与您真诚合作，共创美好的未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21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2026-04-22T01:23:57Z</dcterms:created>
  <dc:creator>Mt</dc:creator>
  <cp:lastModifiedBy>制药网阳阳</cp:lastModifiedBy>
  <dcterms:modified xsi:type="dcterms:W3CDTF">2026-04-22T01:24:28Z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49E835BC11C245C6A90943D1B979946F_12</vt:lpwstr>
  </property>
</Properties>
</file>