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5EDA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  <w:bdr w:val="none" w:color="auto" w:sz="0" w:space="0"/>
        </w:rPr>
        <w:t>干货分享 | HEPA高效过滤器检漏过程中关键的五大步骤</w:t>
      </w:r>
    </w:p>
    <w:p w14:paraId="0D534E5F">
      <w:pPr>
        <w:rPr>
          <w:rFonts w:hint="eastAsia"/>
          <w:lang w:val="en-US" w:eastAsia="zh-CN"/>
        </w:rPr>
      </w:pPr>
    </w:p>
    <w:p w14:paraId="6CAF9F7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一、高效过滤器检漏标准流程</w:t>
      </w:r>
    </w:p>
    <w:p w14:paraId="18E8490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高效过滤器检漏是一项系统性工作，需要严格按照标准流程操作，确保检测结果的准确性和可靠性。</w:t>
      </w:r>
    </w:p>
    <w:p w14:paraId="3027498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1.1 气溶胶引入阶段</w:t>
      </w:r>
    </w:p>
    <w:p w14:paraId="050FAA7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在待测HEPA上游一侧引入PAO气溶胶是整个检漏流程的首要步骤。根据应用场景不同，气溶胶引入方式有所差异：</w:t>
      </w:r>
    </w:p>
    <w:p w14:paraId="31196F8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HVAC系统中的HEPA‌：为使气溶胶到达HEPA时的浓度均匀，通常将气溶胶直接从系统风机的负压一侧引入。若需从风管中引入，则应在距HEPA至少10倍风管直径处设置引入点，并尽量减少管道拐弯（依据美国环境科学和技术学会建议）。实际操作中，只需保持上游气溶胶浓度稳定在要求范围内即可。</w:t>
      </w:r>
    </w:p>
    <w:p w14:paraId="48E68CB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‌层流罩、超净台上的HEPA‌：这类设备的检漏相对简单，气溶胶可直接从系统风机的负压一侧引入，无需考虑长距离输送带来的浓度不均问题。</w:t>
      </w:r>
    </w:p>
    <w:p w14:paraId="6D46998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1.2 检测设备准备</w:t>
      </w:r>
    </w:p>
    <w:p w14:paraId="7EA5A60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气溶胶光度计的初始化与校准是确保检测精度的关键环节：</w:t>
      </w:r>
    </w:p>
    <w:p w14:paraId="5725A19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按照设备操作手册进行初始化程序</w:t>
      </w:r>
    </w:p>
    <w:p w14:paraId="72A4278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配置报警阈值（通常设置为0.01%泄漏率）</w:t>
      </w:r>
    </w:p>
    <w:p w14:paraId="140C503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将UPSTREAM采样管连接至上游采样口</w:t>
      </w:r>
    </w:p>
    <w:p w14:paraId="50CFA2B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测量并调节上游气溶胶浓度至10~20μg/mL的理想范围</w:t>
      </w:r>
    </w:p>
    <w:p w14:paraId="3644CED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这一阶段需要特别注意气溶胶发生器的操作规范，确保生成的气溶胶粒径分布符合测试要求。</w:t>
      </w:r>
    </w:p>
    <w:p w14:paraId="74CE36C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67325" cy="3324225"/>
            <wp:effectExtent l="0" t="0" r="9525" b="9525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601B059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1.3 扫描检漏操作</w:t>
      </w:r>
    </w:p>
    <w:p w14:paraId="27D6F31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扫描检漏是检漏流程的核心环节，需要严格遵循以下操作规范：</w:t>
      </w:r>
    </w:p>
    <w:p w14:paraId="712E514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‌准备工作‌：卸下HEPA的散流板，暴露整个过滤面及周边密封结构。检查区域应包括：滤器面、滤器与边框之间、边框与边框之间以及边框与静压箱之间的所有密封部位。</w:t>
      </w:r>
    </w:p>
    <w:p w14:paraId="64411C5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‌扫描参数‌：</w:t>
      </w:r>
    </w:p>
    <w:p w14:paraId="25C477A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采样头与滤器面保持约3cm的距离</w:t>
      </w:r>
    </w:p>
    <w:p w14:paraId="43874F7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扫描速度控制在不超过5cm/s</w:t>
      </w:r>
    </w:p>
    <w:p w14:paraId="4B0E83D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采用直线往复式扫描路径</w:t>
      </w:r>
    </w:p>
    <w:p w14:paraId="22EEA95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相邻扫描线应有适当重叠（通常为采样头直径的50%）</w:t>
      </w:r>
    </w:p>
    <w:p w14:paraId="4890DAA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‌泄漏判定‌：当检测仪器发出报警声（即%LEAKAGE超过0.01%阈值）时，表明该位置存在泄漏。发现泄漏后应做好标记，使用硅胶进行临时堵漏或紧固处理，然后重新扫描确认修复效果。</w:t>
      </w:r>
    </w:p>
    <w:p w14:paraId="708D187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‌安全防护‌：操作人员需全程佩戴防护面罩和防护眼罩，防止气溶胶暴露。同时，应定期确认上游气溶胶浓度稳定性，通常每个过滤器的完整检测时间约为5分钟。</w:t>
      </w:r>
    </w:p>
    <w:p w14:paraId="3FAF51C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600325" cy="3705225"/>
            <wp:effectExtent l="0" t="0" r="9525" b="952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571750" cy="3724275"/>
            <wp:effectExtent l="0" t="0" r="0" b="952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CB9614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二、检漏结果判定与处理标准</w:t>
      </w:r>
    </w:p>
    <w:p w14:paraId="6B9D06B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高效过滤器检漏的结果判定有明确的标准和处理规范，确保过滤系统安全可靠运行。</w:t>
      </w:r>
    </w:p>
    <w:p w14:paraId="01C8F81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2.1 合格标准</w:t>
      </w:r>
    </w:p>
    <w:p w14:paraId="2988A91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高效过滤器的泄漏率合格标准为≤0.01%。具体判定规则如下：</w:t>
      </w:r>
    </w:p>
    <w:p w14:paraId="721B1D0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‌合格判定‌：若HEPA在检测过程中，所有检测点的泄漏率均不超过0.01%，则判定该过滤器合格，可继续使用。</w:t>
      </w:r>
    </w:p>
    <w:p w14:paraId="3501C4F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‌不合格判定‌：若发现任意一点的泄漏率超过0.01%，则判定该过滤器不合格，需立即采取处理措施。</w:t>
      </w:r>
    </w:p>
    <w:p w14:paraId="5E73ED4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2.2 泄漏处理规范</w:t>
      </w:r>
    </w:p>
    <w:p w14:paraId="7D0F1AA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对于检测不合格的过滤器，有以下处理方式：</w:t>
      </w:r>
    </w:p>
    <w:p w14:paraId="50B275D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‌标记定位‌：使用不脱落的标记物准确标出所有泄漏点位置，记录泄漏率数值。</w:t>
      </w:r>
    </w:p>
    <w:p w14:paraId="6A18536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‌修补标准‌：</w:t>
      </w:r>
    </w:p>
    <w:p w14:paraId="51CA610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允许使用专用胶水对滤料泄漏处进行修补</w:t>
      </w:r>
    </w:p>
    <w:p w14:paraId="7FCAEEC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单个泄漏处的修补面积不得超过过滤器总面积的1%</w:t>
      </w:r>
    </w:p>
    <w:p w14:paraId="3EC00DC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全部泄漏处的累计修补面积不得超过总面积的5%</w:t>
      </w:r>
    </w:p>
    <w:p w14:paraId="350371B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超过上述任一标准时必须整体更换过滤器</w:t>
      </w:r>
    </w:p>
    <w:p w14:paraId="154C9B4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‌复检要求‌：所有修补完成后，必须重新进行完整扫描检漏，确保修补区域不再泄漏且整体泄漏率达标。</w:t>
      </w:r>
    </w:p>
    <w:p w14:paraId="32E3DBB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3675" cy="4145915"/>
            <wp:effectExtent l="0" t="0" r="3175" b="698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145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2B6253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725373E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三、高效过滤器检漏周期建议</w:t>
      </w:r>
    </w:p>
    <w:p w14:paraId="132D42D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不同机构和标准对高效过滤器检漏周期有不同建议，用户应根据自身行业特点选择合适的检测频率。</w:t>
      </w:r>
    </w:p>
    <w:tbl>
      <w:tblPr>
        <w:tblpPr w:vertAnchor="text" w:tblpXSpec="left"/>
        <w:tblW w:w="98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75"/>
        <w:gridCol w:w="2378"/>
        <w:gridCol w:w="4065"/>
      </w:tblGrid>
      <w:tr w14:paraId="177DC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top"/>
          </w:tcPr>
          <w:p w14:paraId="74F36BE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标准/机构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top"/>
          </w:tcPr>
          <w:p w14:paraId="3EEAF6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建议检漏周期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top"/>
          </w:tcPr>
          <w:p w14:paraId="5A436DF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适用场景</w:t>
            </w:r>
          </w:p>
        </w:tc>
      </w:tr>
      <w:tr w14:paraId="33E75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top"/>
          </w:tcPr>
          <w:p w14:paraId="57C49E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FDA无菌药品生产指南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top"/>
          </w:tcPr>
          <w:p w14:paraId="6108066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每半年一次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top"/>
          </w:tcPr>
          <w:p w14:paraId="35DDDD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无菌制剂生产车间</w:t>
            </w:r>
          </w:p>
        </w:tc>
      </w:tr>
      <w:tr w14:paraId="133DB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top"/>
          </w:tcPr>
          <w:p w14:paraId="02C12B3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中国GMP检查指南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top"/>
          </w:tcPr>
          <w:p w14:paraId="1E04631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通常一年一次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top"/>
          </w:tcPr>
          <w:p w14:paraId="714184E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药品生产质量管理规范环境</w:t>
            </w:r>
          </w:p>
        </w:tc>
      </w:tr>
      <w:tr w14:paraId="43EE3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top"/>
          </w:tcPr>
          <w:p w14:paraId="564877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ISO14644标准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top"/>
          </w:tcPr>
          <w:p w14:paraId="687F85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不超过24个月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50" w:type="dxa"/>
              <w:bottom w:w="0" w:type="dxa"/>
              <w:right w:w="150" w:type="dxa"/>
            </w:tcMar>
            <w:vAlign w:val="top"/>
          </w:tcPr>
          <w:p w14:paraId="233D5E3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已安装HEPA的常规检测</w:t>
            </w:r>
          </w:p>
        </w:tc>
      </w:tr>
    </w:tbl>
    <w:p w14:paraId="34CC192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除上述定期检测外，以下特殊情况也需进行检漏：</w:t>
      </w:r>
    </w:p>
    <w:p w14:paraId="0536B1C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‌安装或更换后‌：所有新安装或更换的HEPA都应立即进行DOP检漏，确认安装质量。</w:t>
      </w:r>
    </w:p>
    <w:p w14:paraId="497A185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‌异常情况‌：</w:t>
      </w:r>
      <w:bookmarkStart w:id="0" w:name="_GoBack"/>
      <w:bookmarkEnd w:id="0"/>
    </w:p>
    <w:p w14:paraId="4176FC0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环境监测显示空气质量异常恶化</w:t>
      </w:r>
    </w:p>
    <w:p w14:paraId="72CE5AC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产品无菌试验不合格</w:t>
      </w:r>
    </w:p>
    <w:p w14:paraId="6532083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培养基模拟灌装试验失败</w:t>
      </w:r>
    </w:p>
    <w:p w14:paraId="09755F2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作为偏差调查的组成部分</w:t>
      </w:r>
    </w:p>
    <w:p w14:paraId="05F43AD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‌特殊设备‌：烘干隧道、干烤箱等设备使用的HEPA也需纳入检漏计划，其检测周期可参考主系统标准。</w:t>
      </w:r>
    </w:p>
    <w:p w14:paraId="52B73C2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66690" cy="3401695"/>
            <wp:effectExtent l="0" t="0" r="10160" b="8255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01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796A2BB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四、高效过滤器不达标原因分析</w:t>
      </w:r>
    </w:p>
    <w:p w14:paraId="2FF2DBC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高效过滤器不达标可能发生在出厂检测或现场检测环节，原因可归纳为以下几类：</w:t>
      </w:r>
    </w:p>
    <w:p w14:paraId="77BAC17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4.1 目测可识别的原因</w:t>
      </w:r>
    </w:p>
    <w:p w14:paraId="04CA640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通过目视检查或简单测试即可发现的问题：</w:t>
      </w:r>
    </w:p>
    <w:p w14:paraId="26DAB22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‌滤材表面损伤‌：</w:t>
      </w:r>
    </w:p>
    <w:p w14:paraId="392D301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明显破裂或机械损伤（肉眼易观察）</w:t>
      </w:r>
    </w:p>
    <w:p w14:paraId="6984903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轻微损伤可能需要测试台检测才能发现</w:t>
      </w:r>
    </w:p>
    <w:p w14:paraId="39021F4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少量破损可在生产厂进行专业修复</w:t>
      </w:r>
    </w:p>
    <w:p w14:paraId="144BC5B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‌生产过程中的损伤‌：</w:t>
      </w:r>
    </w:p>
    <w:p w14:paraId="1CC133E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滤材在制造过程中受到过度压力</w:t>
      </w:r>
    </w:p>
    <w:p w14:paraId="5BF6A4D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人为操作不当造成的意外损坏</w:t>
      </w:r>
    </w:p>
    <w:p w14:paraId="713F5DA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局部可修复，但需符合标准要求</w:t>
      </w:r>
    </w:p>
    <w:p w14:paraId="06A98C2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‌密封缺陷‌：</w:t>
      </w:r>
    </w:p>
    <w:p w14:paraId="3DEFE98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滤材与过滤器外框结合部位漏风</w:t>
      </w:r>
    </w:p>
    <w:p w14:paraId="7E24994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密封胶条接缝处理不当导致的漏风</w:t>
      </w:r>
    </w:p>
    <w:p w14:paraId="514A71E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采用现场发泡聚氨酯密封条可避免接缝问题</w:t>
      </w:r>
    </w:p>
    <w:p w14:paraId="4ACC256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有接头的胶条应采用迷宫式接口设计</w:t>
      </w:r>
    </w:p>
    <w:p w14:paraId="4EF24AF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4.2 原材料相关问题</w:t>
      </w:r>
    </w:p>
    <w:p w14:paraId="1522891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与过滤器材料本身质量相关的缺陷：</w:t>
      </w:r>
    </w:p>
    <w:p w14:paraId="4999A0E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‌滤材效率不足‌：</w:t>
      </w:r>
    </w:p>
    <w:p w14:paraId="08D75C0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未达到高效滤材标准（在5.3cm/s风速下对0.3μm颗粒过滤效率≥99.97%）</w:t>
      </w:r>
    </w:p>
    <w:p w14:paraId="2FC2AB2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无法通过后期处理弥补的根本性缺陷</w:t>
      </w:r>
    </w:p>
    <w:p w14:paraId="736509D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‌材料发尘问题‌：</w:t>
      </w:r>
    </w:p>
    <w:p w14:paraId="0D86C03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传统有隔板过滤器中纸制隔板原料控制不严</w:t>
      </w:r>
    </w:p>
    <w:p w14:paraId="61DC108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滤材生产环境洁净度不足导致自带粉尘</w:t>
      </w:r>
    </w:p>
    <w:p w14:paraId="0908932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部分检验方法难以检出这类潜在发尘问题</w:t>
      </w:r>
    </w:p>
    <w:p w14:paraId="6AF3B2D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4.3 检测过程问题</w:t>
      </w:r>
    </w:p>
    <w:p w14:paraId="038DC03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检测方法或操作不当导致的误判：</w:t>
      </w:r>
    </w:p>
    <w:p w14:paraId="20D4912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‌涡流干扰‌：</w:t>
      </w:r>
    </w:p>
    <w:p w14:paraId="3D1BE96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扫描检测时出风面涡流携带周边粉尘进入扫描区</w:t>
      </w:r>
    </w:p>
    <w:p w14:paraId="5CDAFB2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难以区分真实泄漏与涡流干扰造成的假阳性</w:t>
      </w:r>
    </w:p>
    <w:p w14:paraId="057F8FC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国外厂商通过在洁净室设置检验台解决此问题</w:t>
      </w:r>
    </w:p>
    <w:p w14:paraId="7FB1FDF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‌下游浓度误判‌：</w:t>
      </w:r>
    </w:p>
    <w:p w14:paraId="374FB85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安装后仅凭下游粉尘浓度判断过滤器性能</w:t>
      </w:r>
    </w:p>
    <w:p w14:paraId="48AF97D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可能因其他污染源导致误判合格过滤器</w:t>
      </w:r>
    </w:p>
    <w:p w14:paraId="6098E7C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需要结合多点检测和趋势分析综合判断</w:t>
      </w:r>
    </w:p>
    <w:p w14:paraId="5E6212F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五、主流检漏方法比较</w:t>
      </w:r>
    </w:p>
    <w:p w14:paraId="3AA856B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目前高效过滤器检漏主要采用两种方法，各有特点但检测结果具有一致性。</w:t>
      </w:r>
    </w:p>
    <w:p w14:paraId="0F6448B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67325" cy="5010150"/>
            <wp:effectExtent l="0" t="0" r="9525" b="0"/>
            <wp:docPr id="2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64816BC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5.1 光度计扫描法</w:t>
      </w:r>
    </w:p>
    <w:p w14:paraId="7B583F6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‌技术特点‌：</w:t>
      </w:r>
    </w:p>
    <w:p w14:paraId="2091B81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检测粒子源：多分散相液滴（如Laskin喷管产生的DOP烟雾）</w:t>
      </w:r>
    </w:p>
    <w:p w14:paraId="4D3C965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检测原理：对过滤器全平面进行光度扫描</w:t>
      </w:r>
    </w:p>
    <w:p w14:paraId="68B46A6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优点：快速准确定位漏点</w:t>
      </w:r>
    </w:p>
    <w:p w14:paraId="0C49A33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局限：无法区分粉尘粒径，报告的"过滤效率"仅供参考</w:t>
      </w:r>
    </w:p>
    <w:p w14:paraId="62F1728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‌操作要点‌：</w:t>
      </w:r>
    </w:p>
    <w:p w14:paraId="3DD5651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需配合PAO气溶胶发生器使用</w:t>
      </w:r>
    </w:p>
    <w:p w14:paraId="7E4EBDE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扫描路径和参数需严格遵循标准</w:t>
      </w:r>
    </w:p>
    <w:p w14:paraId="3EDBC42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适用于快速筛查和大面积检测</w:t>
      </w:r>
    </w:p>
    <w:p w14:paraId="1D8D4E4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5.2 粒子计数法</w:t>
      </w:r>
    </w:p>
    <w:p w14:paraId="67B34D8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‌技术特点‌：</w:t>
      </w:r>
    </w:p>
    <w:p w14:paraId="6F3C838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欧洲通用方法，美国超高效过滤器测试也采用类似方法</w:t>
      </w:r>
    </w:p>
    <w:p w14:paraId="38D96A4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尘源：多分散相液滴或特定粒径固体粉尘</w:t>
      </w:r>
    </w:p>
    <w:p w14:paraId="1769960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核心设备：大流量激光粒子计数器</w:t>
      </w:r>
    </w:p>
    <w:p w14:paraId="5347B14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优点：可测量各点具体颗粒数，比较局部效率</w:t>
      </w:r>
    </w:p>
    <w:p w14:paraId="100BF93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‌特殊要求‌：</w:t>
      </w:r>
    </w:p>
    <w:p w14:paraId="59BB88D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使用凝结核计数器时需单分散相尘源</w:t>
      </w:r>
    </w:p>
    <w:p w14:paraId="73F05E2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可根据用户需求定制测试粉尘类型</w:t>
      </w:r>
    </w:p>
    <w:p w14:paraId="703D846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提供更详细的粒径分布数据</w:t>
      </w:r>
    </w:p>
    <w:p w14:paraId="68B0E3D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5.3 方法比较结论</w:t>
      </w:r>
    </w:p>
    <w:p w14:paraId="14BBDD9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实验研究表明：</w:t>
      </w:r>
    </w:p>
    <w:p w14:paraId="2256EFA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对相同漏点，两种方法测得的局部过滤效率基本一致</w:t>
      </w:r>
    </w:p>
    <w:p w14:paraId="221435C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光度计法操作更简便快捷</w:t>
      </w:r>
    </w:p>
    <w:p w14:paraId="7A39849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粒子计数法提供更丰富的数据信息</w:t>
      </w:r>
    </w:p>
    <w:p w14:paraId="448F803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选择取决于具体应用场景和数据需求</w:t>
      </w:r>
    </w:p>
    <w:p w14:paraId="40CD3AB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六、总结与建议</w:t>
      </w:r>
    </w:p>
    <w:p w14:paraId="506881B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高效过滤器检漏是保障洁净环境空气质量的关键环节，需要建立系统化的检测和维护计划：</w:t>
      </w:r>
    </w:p>
    <w:p w14:paraId="285E406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‌流程标准化‌：严格遵循检漏流程，从气溶胶引入到扫描检测的每个环节都需规范操作。</w:t>
      </w:r>
    </w:p>
    <w:p w14:paraId="6846B7D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‌周期合理化‌：根据行业标准和实际需求制定检测频率，无菌环境建议缩短检测间隔。</w:t>
      </w:r>
    </w:p>
    <w:p w14:paraId="3598334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‌结果科学判定‌：正确区分真实泄漏与检测假象，结合多种方法综合评估过滤器状态。</w:t>
      </w:r>
    </w:p>
    <w:p w14:paraId="65C0B5D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‌问题溯源‌：发现不达标情况时，应从材料、制造、安装、维护等多方面分析根本原因。</w:t>
      </w:r>
    </w:p>
    <w:p w14:paraId="443E787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‌方法选择‌：根据检测目的和资源条件选择合适方法，重要区域可结合使用两种方法。</w:t>
      </w:r>
    </w:p>
    <w:p w14:paraId="6FECE41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‌记录完整‌：详细记录每次检漏的数据和发现的问题，建立过滤器生命周期档案。</w:t>
      </w:r>
    </w:p>
    <w:p w14:paraId="21E8C62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通过系统化的检漏管理，可确保高效过滤器始终处于工作状态，为洁净环境提供可靠保障。 </w:t>
      </w:r>
    </w:p>
    <w:p w14:paraId="5082E7E0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AD53FE"/>
    <w:rsid w:val="00FE5DE6"/>
    <w:rsid w:val="00FF3206"/>
    <w:rsid w:val="019404F8"/>
    <w:rsid w:val="01D54E70"/>
    <w:rsid w:val="01D82826"/>
    <w:rsid w:val="020B3286"/>
    <w:rsid w:val="0248078D"/>
    <w:rsid w:val="027B44A0"/>
    <w:rsid w:val="027D2D3A"/>
    <w:rsid w:val="033C6CFD"/>
    <w:rsid w:val="036C34DA"/>
    <w:rsid w:val="039D18E6"/>
    <w:rsid w:val="042042C5"/>
    <w:rsid w:val="04737B58"/>
    <w:rsid w:val="049820AD"/>
    <w:rsid w:val="04DC6B2B"/>
    <w:rsid w:val="05A0746B"/>
    <w:rsid w:val="05A2486E"/>
    <w:rsid w:val="05FE6B2C"/>
    <w:rsid w:val="06542863"/>
    <w:rsid w:val="070F4710"/>
    <w:rsid w:val="07350087"/>
    <w:rsid w:val="0744651C"/>
    <w:rsid w:val="07593D76"/>
    <w:rsid w:val="07B65229"/>
    <w:rsid w:val="097575B9"/>
    <w:rsid w:val="0A764D62"/>
    <w:rsid w:val="0AF838A6"/>
    <w:rsid w:val="0B100BEF"/>
    <w:rsid w:val="0B3D02BF"/>
    <w:rsid w:val="0BDF05C2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0F845FF"/>
    <w:rsid w:val="11A93B4C"/>
    <w:rsid w:val="11AB1094"/>
    <w:rsid w:val="1245638A"/>
    <w:rsid w:val="128915B0"/>
    <w:rsid w:val="12B02CB8"/>
    <w:rsid w:val="136F5E3F"/>
    <w:rsid w:val="13F703EC"/>
    <w:rsid w:val="143C0F41"/>
    <w:rsid w:val="14B839C2"/>
    <w:rsid w:val="15B704C3"/>
    <w:rsid w:val="15DE48A9"/>
    <w:rsid w:val="16EB4173"/>
    <w:rsid w:val="17E03FB1"/>
    <w:rsid w:val="17F53B32"/>
    <w:rsid w:val="19204EFE"/>
    <w:rsid w:val="196565AA"/>
    <w:rsid w:val="19831E1A"/>
    <w:rsid w:val="19B00DD0"/>
    <w:rsid w:val="19F255A0"/>
    <w:rsid w:val="1AF45457"/>
    <w:rsid w:val="1B0F73F9"/>
    <w:rsid w:val="1B511483"/>
    <w:rsid w:val="1B657325"/>
    <w:rsid w:val="1B8076CB"/>
    <w:rsid w:val="1C1E05D7"/>
    <w:rsid w:val="1C27223D"/>
    <w:rsid w:val="1C691B6D"/>
    <w:rsid w:val="1C6E39C8"/>
    <w:rsid w:val="1D240668"/>
    <w:rsid w:val="1D832840"/>
    <w:rsid w:val="1DAC7938"/>
    <w:rsid w:val="1DE11275"/>
    <w:rsid w:val="1E2D1660"/>
    <w:rsid w:val="1E5E181A"/>
    <w:rsid w:val="1EE25A28"/>
    <w:rsid w:val="1F0933D8"/>
    <w:rsid w:val="1F272B52"/>
    <w:rsid w:val="1F7E4544"/>
    <w:rsid w:val="1FC252F1"/>
    <w:rsid w:val="1FC65261"/>
    <w:rsid w:val="1FCE6772"/>
    <w:rsid w:val="20112FE8"/>
    <w:rsid w:val="20C65584"/>
    <w:rsid w:val="20F64921"/>
    <w:rsid w:val="21B93937"/>
    <w:rsid w:val="21E62252"/>
    <w:rsid w:val="21F1422B"/>
    <w:rsid w:val="21F74AB7"/>
    <w:rsid w:val="227B6E3E"/>
    <w:rsid w:val="230E7CB2"/>
    <w:rsid w:val="2329027C"/>
    <w:rsid w:val="23906919"/>
    <w:rsid w:val="24134E54"/>
    <w:rsid w:val="245C11D3"/>
    <w:rsid w:val="24A51914"/>
    <w:rsid w:val="257A33DD"/>
    <w:rsid w:val="25E20F82"/>
    <w:rsid w:val="26FE1038"/>
    <w:rsid w:val="2714558B"/>
    <w:rsid w:val="27925D83"/>
    <w:rsid w:val="27B92ADA"/>
    <w:rsid w:val="280F1035"/>
    <w:rsid w:val="2812493A"/>
    <w:rsid w:val="2825270A"/>
    <w:rsid w:val="2882119E"/>
    <w:rsid w:val="28B8039C"/>
    <w:rsid w:val="297D63F3"/>
    <w:rsid w:val="299013F5"/>
    <w:rsid w:val="29C93231"/>
    <w:rsid w:val="2A186697"/>
    <w:rsid w:val="2A5665D5"/>
    <w:rsid w:val="2A971EC6"/>
    <w:rsid w:val="2B277B63"/>
    <w:rsid w:val="2BBD6588"/>
    <w:rsid w:val="2BE01FFA"/>
    <w:rsid w:val="2CA61F26"/>
    <w:rsid w:val="2E0700C0"/>
    <w:rsid w:val="2E304F81"/>
    <w:rsid w:val="2E3B072C"/>
    <w:rsid w:val="2ED56178"/>
    <w:rsid w:val="2F0D0E1E"/>
    <w:rsid w:val="2F4773FE"/>
    <w:rsid w:val="2FF8370B"/>
    <w:rsid w:val="309E506C"/>
    <w:rsid w:val="30B315F8"/>
    <w:rsid w:val="30E3697C"/>
    <w:rsid w:val="317E4255"/>
    <w:rsid w:val="3291620A"/>
    <w:rsid w:val="32D53528"/>
    <w:rsid w:val="32F02F31"/>
    <w:rsid w:val="32F53F8C"/>
    <w:rsid w:val="32FE13C9"/>
    <w:rsid w:val="330B1B18"/>
    <w:rsid w:val="3317670F"/>
    <w:rsid w:val="33346FC6"/>
    <w:rsid w:val="33A4059C"/>
    <w:rsid w:val="33F3790B"/>
    <w:rsid w:val="341E07EE"/>
    <w:rsid w:val="341F706B"/>
    <w:rsid w:val="344B7192"/>
    <w:rsid w:val="34EC0D2A"/>
    <w:rsid w:val="35727C2D"/>
    <w:rsid w:val="35994521"/>
    <w:rsid w:val="36092412"/>
    <w:rsid w:val="365301F6"/>
    <w:rsid w:val="36851BE2"/>
    <w:rsid w:val="3685750D"/>
    <w:rsid w:val="3701395E"/>
    <w:rsid w:val="372A0649"/>
    <w:rsid w:val="37465FBC"/>
    <w:rsid w:val="379B619B"/>
    <w:rsid w:val="381C6D3F"/>
    <w:rsid w:val="388E305C"/>
    <w:rsid w:val="389948BB"/>
    <w:rsid w:val="39002456"/>
    <w:rsid w:val="3908584D"/>
    <w:rsid w:val="39437C11"/>
    <w:rsid w:val="39970D2E"/>
    <w:rsid w:val="39F9518D"/>
    <w:rsid w:val="3A045513"/>
    <w:rsid w:val="3A76100F"/>
    <w:rsid w:val="3A832F6A"/>
    <w:rsid w:val="3AB713FE"/>
    <w:rsid w:val="3B0C28D2"/>
    <w:rsid w:val="3BBF4BC5"/>
    <w:rsid w:val="3BC54918"/>
    <w:rsid w:val="3C2B7E58"/>
    <w:rsid w:val="3C3932FD"/>
    <w:rsid w:val="3C565234"/>
    <w:rsid w:val="3C6E51AE"/>
    <w:rsid w:val="3D0E01C3"/>
    <w:rsid w:val="3D7353D9"/>
    <w:rsid w:val="3DDE7B01"/>
    <w:rsid w:val="3E045AE2"/>
    <w:rsid w:val="3E5A1BA6"/>
    <w:rsid w:val="3E6B066C"/>
    <w:rsid w:val="3E890575"/>
    <w:rsid w:val="3EDC6A25"/>
    <w:rsid w:val="3FDD12EB"/>
    <w:rsid w:val="402C344E"/>
    <w:rsid w:val="403857A8"/>
    <w:rsid w:val="41280288"/>
    <w:rsid w:val="41406E3E"/>
    <w:rsid w:val="41B458E7"/>
    <w:rsid w:val="41D63B44"/>
    <w:rsid w:val="41FF7BB8"/>
    <w:rsid w:val="42226A6C"/>
    <w:rsid w:val="424A6052"/>
    <w:rsid w:val="42980EEF"/>
    <w:rsid w:val="42C24566"/>
    <w:rsid w:val="43923F81"/>
    <w:rsid w:val="43A0701B"/>
    <w:rsid w:val="43CF576A"/>
    <w:rsid w:val="43D84AA5"/>
    <w:rsid w:val="4461357A"/>
    <w:rsid w:val="44D7516C"/>
    <w:rsid w:val="457C1814"/>
    <w:rsid w:val="46F506BE"/>
    <w:rsid w:val="470637C8"/>
    <w:rsid w:val="471A4443"/>
    <w:rsid w:val="47221636"/>
    <w:rsid w:val="48237F61"/>
    <w:rsid w:val="495A6C96"/>
    <w:rsid w:val="4AC4205C"/>
    <w:rsid w:val="4B790423"/>
    <w:rsid w:val="4BB46D99"/>
    <w:rsid w:val="4BD52F7B"/>
    <w:rsid w:val="4C077FF4"/>
    <w:rsid w:val="4C946F5B"/>
    <w:rsid w:val="4D4072AF"/>
    <w:rsid w:val="4E060604"/>
    <w:rsid w:val="4E3B0121"/>
    <w:rsid w:val="4E632BAB"/>
    <w:rsid w:val="4E963E7C"/>
    <w:rsid w:val="4EB91648"/>
    <w:rsid w:val="4F4D527C"/>
    <w:rsid w:val="4F79014D"/>
    <w:rsid w:val="4FDE6D59"/>
    <w:rsid w:val="50496A10"/>
    <w:rsid w:val="50B43398"/>
    <w:rsid w:val="51340035"/>
    <w:rsid w:val="513B71F4"/>
    <w:rsid w:val="517C3689"/>
    <w:rsid w:val="52203511"/>
    <w:rsid w:val="526D7CA2"/>
    <w:rsid w:val="52867B06"/>
    <w:rsid w:val="534A7FE3"/>
    <w:rsid w:val="53851B21"/>
    <w:rsid w:val="53FA5EDD"/>
    <w:rsid w:val="546F6E06"/>
    <w:rsid w:val="54C7120F"/>
    <w:rsid w:val="558463FC"/>
    <w:rsid w:val="56AB35DB"/>
    <w:rsid w:val="56B57867"/>
    <w:rsid w:val="575E6EE0"/>
    <w:rsid w:val="5797131D"/>
    <w:rsid w:val="58442829"/>
    <w:rsid w:val="586960F4"/>
    <w:rsid w:val="58C358FF"/>
    <w:rsid w:val="58C67997"/>
    <w:rsid w:val="58FF53CC"/>
    <w:rsid w:val="59DF2DEB"/>
    <w:rsid w:val="59EC3BA2"/>
    <w:rsid w:val="59EC7A97"/>
    <w:rsid w:val="5AA42A95"/>
    <w:rsid w:val="5AC139F1"/>
    <w:rsid w:val="5AE51363"/>
    <w:rsid w:val="5AF54844"/>
    <w:rsid w:val="5C03539A"/>
    <w:rsid w:val="5D38538B"/>
    <w:rsid w:val="5D5B7668"/>
    <w:rsid w:val="5DCE1B1C"/>
    <w:rsid w:val="5E3D49CC"/>
    <w:rsid w:val="5E60152A"/>
    <w:rsid w:val="5E895E64"/>
    <w:rsid w:val="5E936FB3"/>
    <w:rsid w:val="5ECC0B16"/>
    <w:rsid w:val="5F5D7424"/>
    <w:rsid w:val="60064CF5"/>
    <w:rsid w:val="601E1EF1"/>
    <w:rsid w:val="608E7761"/>
    <w:rsid w:val="611E35D1"/>
    <w:rsid w:val="615A1B72"/>
    <w:rsid w:val="618233C6"/>
    <w:rsid w:val="62095389"/>
    <w:rsid w:val="620D0B5A"/>
    <w:rsid w:val="62207233"/>
    <w:rsid w:val="6252318D"/>
    <w:rsid w:val="629300A9"/>
    <w:rsid w:val="630A027A"/>
    <w:rsid w:val="636C7B02"/>
    <w:rsid w:val="6413675B"/>
    <w:rsid w:val="64744B28"/>
    <w:rsid w:val="64746921"/>
    <w:rsid w:val="64B57FA4"/>
    <w:rsid w:val="64FF204F"/>
    <w:rsid w:val="65734E67"/>
    <w:rsid w:val="657832D2"/>
    <w:rsid w:val="660D2220"/>
    <w:rsid w:val="662636B1"/>
    <w:rsid w:val="663F18DB"/>
    <w:rsid w:val="669916B9"/>
    <w:rsid w:val="66DE3387"/>
    <w:rsid w:val="673D0C19"/>
    <w:rsid w:val="675148AC"/>
    <w:rsid w:val="67650AF0"/>
    <w:rsid w:val="676A4358"/>
    <w:rsid w:val="67C71862"/>
    <w:rsid w:val="68294213"/>
    <w:rsid w:val="68D10D6E"/>
    <w:rsid w:val="68DA17D8"/>
    <w:rsid w:val="691A2B02"/>
    <w:rsid w:val="697A2EB9"/>
    <w:rsid w:val="6A162576"/>
    <w:rsid w:val="6A3A6048"/>
    <w:rsid w:val="6A3B1228"/>
    <w:rsid w:val="6A99742E"/>
    <w:rsid w:val="6A9B3239"/>
    <w:rsid w:val="6B286A04"/>
    <w:rsid w:val="6BE75F78"/>
    <w:rsid w:val="6C252EFA"/>
    <w:rsid w:val="6C5C5978"/>
    <w:rsid w:val="6CA8695E"/>
    <w:rsid w:val="6D9A126A"/>
    <w:rsid w:val="6DE9247B"/>
    <w:rsid w:val="6F9F664B"/>
    <w:rsid w:val="6FC4471C"/>
    <w:rsid w:val="704108C3"/>
    <w:rsid w:val="704C399F"/>
    <w:rsid w:val="70502EE9"/>
    <w:rsid w:val="7096103B"/>
    <w:rsid w:val="70A40FD2"/>
    <w:rsid w:val="70DA28D0"/>
    <w:rsid w:val="71B3557E"/>
    <w:rsid w:val="71D21478"/>
    <w:rsid w:val="726377BC"/>
    <w:rsid w:val="729429A0"/>
    <w:rsid w:val="72A03205"/>
    <w:rsid w:val="72C02C76"/>
    <w:rsid w:val="7315589F"/>
    <w:rsid w:val="732924AB"/>
    <w:rsid w:val="739A136C"/>
    <w:rsid w:val="73AD3F4B"/>
    <w:rsid w:val="73E02438"/>
    <w:rsid w:val="73ED6640"/>
    <w:rsid w:val="74A73B89"/>
    <w:rsid w:val="74D277C3"/>
    <w:rsid w:val="74F160B9"/>
    <w:rsid w:val="7592695A"/>
    <w:rsid w:val="768952A5"/>
    <w:rsid w:val="76923435"/>
    <w:rsid w:val="76CE78B6"/>
    <w:rsid w:val="77A0299D"/>
    <w:rsid w:val="77A16CB3"/>
    <w:rsid w:val="77A64463"/>
    <w:rsid w:val="78703173"/>
    <w:rsid w:val="790C2F25"/>
    <w:rsid w:val="79885061"/>
    <w:rsid w:val="79B002F1"/>
    <w:rsid w:val="7A1E40AE"/>
    <w:rsid w:val="7A716722"/>
    <w:rsid w:val="7B25086A"/>
    <w:rsid w:val="7BB52709"/>
    <w:rsid w:val="7D115F4B"/>
    <w:rsid w:val="7D1346B4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466</Words>
  <Characters>471</Characters>
  <Lines>0</Lines>
  <Paragraphs>0</Paragraphs>
  <TotalTime>15</TotalTime>
  <ScaleCrop>false</ScaleCrop>
  <LinksUpToDate>false</LinksUpToDate>
  <CharactersWithSpaces>497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2026-03-26T03:56:23Z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